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A27B24">
        <w:rPr>
          <w:rFonts w:ascii="Palatino Linotype" w:hAnsi="Palatino Linotype" w:cs="Arial"/>
          <w:b/>
          <w:sz w:val="24"/>
          <w:szCs w:val="24"/>
        </w:rPr>
        <w:t>917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2154CE" w:rsidRPr="002154CE" w:rsidRDefault="00E6179D">
          <w:pPr>
            <w:pStyle w:val="TDC1"/>
            <w:rPr>
              <w:rFonts w:asciiTheme="minorHAnsi" w:eastAsiaTheme="minorEastAsia" w:hAnsiTheme="minorHAnsi"/>
              <w:b w:val="0"/>
              <w:sz w:val="24"/>
              <w:szCs w:val="24"/>
              <w:lang w:eastAsia="es-MX"/>
            </w:rPr>
          </w:pPr>
          <w:r w:rsidRPr="00833F82">
            <w:rPr>
              <w:sz w:val="24"/>
              <w:szCs w:val="24"/>
            </w:rPr>
            <w:fldChar w:fldCharType="begin"/>
          </w:r>
          <w:r w:rsidRPr="00833F82">
            <w:rPr>
              <w:sz w:val="24"/>
              <w:szCs w:val="24"/>
            </w:rPr>
            <w:instrText xml:space="preserve"> TOC \o "1-3" \h \z \u </w:instrText>
          </w:r>
          <w:r w:rsidRPr="00833F82">
            <w:rPr>
              <w:sz w:val="24"/>
              <w:szCs w:val="24"/>
            </w:rPr>
            <w:fldChar w:fldCharType="separate"/>
          </w:r>
          <w:hyperlink w:anchor="_Toc11053530" w:history="1">
            <w:r w:rsidR="002154CE" w:rsidRPr="002154CE">
              <w:rPr>
                <w:rStyle w:val="Hipervnculo"/>
                <w:rFonts w:eastAsia="Times New Roman"/>
                <w:sz w:val="24"/>
                <w:szCs w:val="24"/>
              </w:rPr>
              <w:t>I.</w:t>
            </w:r>
            <w:r w:rsidR="002154CE" w:rsidRPr="002154CE">
              <w:rPr>
                <w:rFonts w:asciiTheme="minorHAnsi" w:eastAsiaTheme="minorEastAsia" w:hAnsiTheme="minorHAnsi"/>
                <w:b w:val="0"/>
                <w:sz w:val="24"/>
                <w:szCs w:val="24"/>
                <w:lang w:eastAsia="es-MX"/>
              </w:rPr>
              <w:tab/>
            </w:r>
            <w:r w:rsidR="002154CE" w:rsidRPr="002154CE">
              <w:rPr>
                <w:rStyle w:val="Hipervnculo"/>
                <w:rFonts w:eastAsia="Times New Roman"/>
                <w:sz w:val="24"/>
                <w:szCs w:val="24"/>
              </w:rPr>
              <w:t>Consideraciones Generales</w:t>
            </w:r>
            <w:r w:rsidR="002154CE" w:rsidRPr="002154CE">
              <w:rPr>
                <w:webHidden/>
                <w:sz w:val="24"/>
                <w:szCs w:val="24"/>
              </w:rPr>
              <w:tab/>
            </w:r>
            <w:r w:rsidR="002154CE" w:rsidRPr="002154CE">
              <w:rPr>
                <w:webHidden/>
                <w:sz w:val="24"/>
                <w:szCs w:val="24"/>
              </w:rPr>
              <w:fldChar w:fldCharType="begin"/>
            </w:r>
            <w:r w:rsidR="002154CE" w:rsidRPr="002154CE">
              <w:rPr>
                <w:webHidden/>
                <w:sz w:val="24"/>
                <w:szCs w:val="24"/>
              </w:rPr>
              <w:instrText xml:space="preserve"> PAGEREF _Toc11053530 \h </w:instrText>
            </w:r>
            <w:r w:rsidR="002154CE" w:rsidRPr="002154CE">
              <w:rPr>
                <w:webHidden/>
                <w:sz w:val="24"/>
                <w:szCs w:val="24"/>
              </w:rPr>
            </w:r>
            <w:r w:rsidR="002154CE" w:rsidRPr="002154CE">
              <w:rPr>
                <w:webHidden/>
                <w:sz w:val="24"/>
                <w:szCs w:val="24"/>
              </w:rPr>
              <w:fldChar w:fldCharType="separate"/>
            </w:r>
            <w:r w:rsidR="002154CE" w:rsidRPr="002154CE">
              <w:rPr>
                <w:webHidden/>
                <w:sz w:val="24"/>
                <w:szCs w:val="24"/>
              </w:rPr>
              <w:t>1</w:t>
            </w:r>
            <w:r w:rsidR="002154CE" w:rsidRPr="002154CE">
              <w:rPr>
                <w:webHidden/>
                <w:sz w:val="24"/>
                <w:szCs w:val="24"/>
              </w:rPr>
              <w:fldChar w:fldCharType="end"/>
            </w:r>
          </w:hyperlink>
        </w:p>
        <w:p w:rsidR="002154CE" w:rsidRPr="002154CE" w:rsidRDefault="00B205A1">
          <w:pPr>
            <w:pStyle w:val="TDC1"/>
            <w:rPr>
              <w:rFonts w:asciiTheme="minorHAnsi" w:eastAsiaTheme="minorEastAsia" w:hAnsiTheme="minorHAnsi"/>
              <w:b w:val="0"/>
              <w:sz w:val="24"/>
              <w:szCs w:val="24"/>
              <w:lang w:eastAsia="es-MX"/>
            </w:rPr>
          </w:pPr>
          <w:hyperlink w:anchor="_Toc11053531" w:history="1">
            <w:r w:rsidR="002154CE" w:rsidRPr="002154CE">
              <w:rPr>
                <w:rStyle w:val="Hipervnculo"/>
                <w:rFonts w:eastAsia="Calibri"/>
                <w:sz w:val="24"/>
                <w:szCs w:val="24"/>
                <w:lang w:val="es-ES"/>
              </w:rPr>
              <w:t>II.</w:t>
            </w:r>
            <w:r w:rsidR="002154CE" w:rsidRPr="002154CE">
              <w:rPr>
                <w:rFonts w:asciiTheme="minorHAnsi" w:eastAsiaTheme="minorEastAsia" w:hAnsiTheme="minorHAnsi"/>
                <w:b w:val="0"/>
                <w:sz w:val="24"/>
                <w:szCs w:val="24"/>
                <w:lang w:eastAsia="es-MX"/>
              </w:rPr>
              <w:tab/>
            </w:r>
            <w:r w:rsidR="002154CE" w:rsidRPr="002154CE">
              <w:rPr>
                <w:rStyle w:val="Hipervnculo"/>
                <w:rFonts w:eastAsia="Calibri"/>
                <w:sz w:val="24"/>
                <w:szCs w:val="24"/>
                <w:lang w:val="es-ES"/>
              </w:rPr>
              <w:t>De los requerimientos planteados en el recurso de revisión.</w:t>
            </w:r>
            <w:r w:rsidR="002154CE" w:rsidRPr="002154CE">
              <w:rPr>
                <w:webHidden/>
                <w:sz w:val="24"/>
                <w:szCs w:val="24"/>
              </w:rPr>
              <w:tab/>
            </w:r>
            <w:r w:rsidR="002154CE" w:rsidRPr="002154CE">
              <w:rPr>
                <w:webHidden/>
                <w:sz w:val="24"/>
                <w:szCs w:val="24"/>
              </w:rPr>
              <w:fldChar w:fldCharType="begin"/>
            </w:r>
            <w:r w:rsidR="002154CE" w:rsidRPr="002154CE">
              <w:rPr>
                <w:webHidden/>
                <w:sz w:val="24"/>
                <w:szCs w:val="24"/>
              </w:rPr>
              <w:instrText xml:space="preserve"> PAGEREF _Toc11053531 \h </w:instrText>
            </w:r>
            <w:r w:rsidR="002154CE" w:rsidRPr="002154CE">
              <w:rPr>
                <w:webHidden/>
                <w:sz w:val="24"/>
                <w:szCs w:val="24"/>
              </w:rPr>
            </w:r>
            <w:r w:rsidR="002154CE" w:rsidRPr="002154CE">
              <w:rPr>
                <w:webHidden/>
                <w:sz w:val="24"/>
                <w:szCs w:val="24"/>
              </w:rPr>
              <w:fldChar w:fldCharType="separate"/>
            </w:r>
            <w:r w:rsidR="002154CE" w:rsidRPr="002154CE">
              <w:rPr>
                <w:webHidden/>
                <w:sz w:val="24"/>
                <w:szCs w:val="24"/>
              </w:rPr>
              <w:t>2</w:t>
            </w:r>
            <w:r w:rsidR="002154CE" w:rsidRPr="002154CE">
              <w:rPr>
                <w:webHidden/>
                <w:sz w:val="24"/>
                <w:szCs w:val="24"/>
              </w:rPr>
              <w:fldChar w:fldCharType="end"/>
            </w:r>
          </w:hyperlink>
        </w:p>
        <w:p w:rsidR="002154CE" w:rsidRPr="002154CE" w:rsidRDefault="00B205A1">
          <w:pPr>
            <w:pStyle w:val="TDC2"/>
            <w:rPr>
              <w:rFonts w:asciiTheme="minorHAnsi" w:eastAsiaTheme="minorEastAsia" w:hAnsiTheme="minorHAnsi"/>
              <w:b w:val="0"/>
              <w:lang w:eastAsia="es-MX"/>
            </w:rPr>
          </w:pPr>
          <w:hyperlink w:anchor="_Toc11053532" w:history="1">
            <w:r w:rsidR="002154CE" w:rsidRPr="002154CE">
              <w:rPr>
                <w:rStyle w:val="Hipervnculo"/>
              </w:rPr>
              <w:t>III. Del Derecho de Acceso a la información pública y el deber de motivar.</w:t>
            </w:r>
            <w:r w:rsidR="002154CE" w:rsidRPr="002154CE">
              <w:rPr>
                <w:webHidden/>
              </w:rPr>
              <w:tab/>
            </w:r>
            <w:r w:rsidR="002154CE" w:rsidRPr="002154CE">
              <w:rPr>
                <w:webHidden/>
              </w:rPr>
              <w:fldChar w:fldCharType="begin"/>
            </w:r>
            <w:r w:rsidR="002154CE" w:rsidRPr="002154CE">
              <w:rPr>
                <w:webHidden/>
              </w:rPr>
              <w:instrText xml:space="preserve"> PAGEREF _Toc11053532 \h </w:instrText>
            </w:r>
            <w:r w:rsidR="002154CE" w:rsidRPr="002154CE">
              <w:rPr>
                <w:webHidden/>
              </w:rPr>
            </w:r>
            <w:r w:rsidR="002154CE" w:rsidRPr="002154CE">
              <w:rPr>
                <w:webHidden/>
              </w:rPr>
              <w:fldChar w:fldCharType="separate"/>
            </w:r>
            <w:r w:rsidR="002154CE" w:rsidRPr="002154CE">
              <w:rPr>
                <w:webHidden/>
              </w:rPr>
              <w:t>5</w:t>
            </w:r>
            <w:r w:rsidR="002154CE" w:rsidRPr="002154CE">
              <w:rPr>
                <w:webHidden/>
              </w:rPr>
              <w:fldChar w:fldCharType="end"/>
            </w:r>
          </w:hyperlink>
        </w:p>
        <w:p w:rsidR="002154CE" w:rsidRPr="002154CE" w:rsidRDefault="00B205A1">
          <w:pPr>
            <w:pStyle w:val="TDC1"/>
            <w:rPr>
              <w:rFonts w:asciiTheme="minorHAnsi" w:eastAsiaTheme="minorEastAsia" w:hAnsiTheme="minorHAnsi"/>
              <w:b w:val="0"/>
              <w:sz w:val="24"/>
              <w:szCs w:val="24"/>
              <w:lang w:eastAsia="es-MX"/>
            </w:rPr>
          </w:pPr>
          <w:hyperlink w:anchor="_Toc11053533" w:history="1">
            <w:r w:rsidR="002154CE" w:rsidRPr="002154CE">
              <w:rPr>
                <w:rStyle w:val="Hipervnculo"/>
                <w:rFonts w:eastAsia="Calibri"/>
                <w:sz w:val="24"/>
                <w:szCs w:val="24"/>
              </w:rPr>
              <w:t>IV. Del Pronunciamiento simple</w:t>
            </w:r>
            <w:r w:rsidR="002154CE" w:rsidRPr="002154CE">
              <w:rPr>
                <w:webHidden/>
                <w:sz w:val="24"/>
                <w:szCs w:val="24"/>
              </w:rPr>
              <w:tab/>
            </w:r>
            <w:r w:rsidR="002154CE" w:rsidRPr="002154CE">
              <w:rPr>
                <w:webHidden/>
                <w:sz w:val="24"/>
                <w:szCs w:val="24"/>
              </w:rPr>
              <w:fldChar w:fldCharType="begin"/>
            </w:r>
            <w:r w:rsidR="002154CE" w:rsidRPr="002154CE">
              <w:rPr>
                <w:webHidden/>
                <w:sz w:val="24"/>
                <w:szCs w:val="24"/>
              </w:rPr>
              <w:instrText xml:space="preserve"> PAGEREF _Toc11053533 \h </w:instrText>
            </w:r>
            <w:r w:rsidR="002154CE" w:rsidRPr="002154CE">
              <w:rPr>
                <w:webHidden/>
                <w:sz w:val="24"/>
                <w:szCs w:val="24"/>
              </w:rPr>
            </w:r>
            <w:r w:rsidR="002154CE" w:rsidRPr="002154CE">
              <w:rPr>
                <w:webHidden/>
                <w:sz w:val="24"/>
                <w:szCs w:val="24"/>
              </w:rPr>
              <w:fldChar w:fldCharType="separate"/>
            </w:r>
            <w:r w:rsidR="002154CE" w:rsidRPr="002154CE">
              <w:rPr>
                <w:webHidden/>
                <w:sz w:val="24"/>
                <w:szCs w:val="24"/>
              </w:rPr>
              <w:t>11</w:t>
            </w:r>
            <w:r w:rsidR="002154CE" w:rsidRPr="002154CE">
              <w:rPr>
                <w:webHidden/>
                <w:sz w:val="24"/>
                <w:szCs w:val="24"/>
              </w:rPr>
              <w:fldChar w:fldCharType="end"/>
            </w:r>
          </w:hyperlink>
        </w:p>
        <w:p w:rsidR="002154CE" w:rsidRDefault="00B205A1">
          <w:pPr>
            <w:pStyle w:val="TDC1"/>
            <w:rPr>
              <w:rFonts w:asciiTheme="minorHAnsi" w:eastAsiaTheme="minorEastAsia" w:hAnsiTheme="minorHAnsi"/>
              <w:b w:val="0"/>
              <w:sz w:val="22"/>
              <w:szCs w:val="22"/>
              <w:lang w:eastAsia="es-MX"/>
            </w:rPr>
          </w:pPr>
          <w:hyperlink w:anchor="_Toc11053534" w:history="1">
            <w:r w:rsidR="002154CE" w:rsidRPr="002154CE">
              <w:rPr>
                <w:rStyle w:val="Hipervnculo"/>
                <w:rFonts w:eastAsia="Calibri"/>
                <w:sz w:val="24"/>
                <w:szCs w:val="24"/>
              </w:rPr>
              <w:t>V. Conclusión.</w:t>
            </w:r>
            <w:r w:rsidR="002154CE" w:rsidRPr="002154CE">
              <w:rPr>
                <w:webHidden/>
                <w:sz w:val="24"/>
                <w:szCs w:val="24"/>
              </w:rPr>
              <w:tab/>
            </w:r>
            <w:r w:rsidR="002154CE" w:rsidRPr="002154CE">
              <w:rPr>
                <w:webHidden/>
                <w:sz w:val="24"/>
                <w:szCs w:val="24"/>
              </w:rPr>
              <w:fldChar w:fldCharType="begin"/>
            </w:r>
            <w:r w:rsidR="002154CE" w:rsidRPr="002154CE">
              <w:rPr>
                <w:webHidden/>
                <w:sz w:val="24"/>
                <w:szCs w:val="24"/>
              </w:rPr>
              <w:instrText xml:space="preserve"> PAGEREF _Toc11053534 \h </w:instrText>
            </w:r>
            <w:r w:rsidR="002154CE" w:rsidRPr="002154CE">
              <w:rPr>
                <w:webHidden/>
                <w:sz w:val="24"/>
                <w:szCs w:val="24"/>
              </w:rPr>
            </w:r>
            <w:r w:rsidR="002154CE" w:rsidRPr="002154CE">
              <w:rPr>
                <w:webHidden/>
                <w:sz w:val="24"/>
                <w:szCs w:val="24"/>
              </w:rPr>
              <w:fldChar w:fldCharType="separate"/>
            </w:r>
            <w:r w:rsidR="002154CE" w:rsidRPr="002154CE">
              <w:rPr>
                <w:webHidden/>
                <w:sz w:val="24"/>
                <w:szCs w:val="24"/>
              </w:rPr>
              <w:t>29</w:t>
            </w:r>
            <w:r w:rsidR="002154CE" w:rsidRPr="002154CE">
              <w:rPr>
                <w:webHidden/>
                <w:sz w:val="24"/>
                <w:szCs w:val="24"/>
              </w:rPr>
              <w:fldChar w:fldCharType="end"/>
            </w:r>
          </w:hyperlink>
        </w:p>
        <w:p w:rsidR="00E6179D" w:rsidRPr="00833F82" w:rsidRDefault="00E6179D" w:rsidP="00B73B30">
          <w:pPr>
            <w:spacing w:line="360" w:lineRule="auto"/>
            <w:rPr>
              <w:rFonts w:ascii="Palatino Linotype" w:hAnsi="Palatino Linotype"/>
              <w:b/>
              <w:sz w:val="24"/>
              <w:szCs w:val="24"/>
            </w:rPr>
          </w:pPr>
          <w:r w:rsidRPr="00833F8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105353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Primera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1E6434">
        <w:rPr>
          <w:rFonts w:ascii="Palatino Linotype" w:eastAsia="Calibri" w:hAnsi="Palatino Linotype" w:cs="Arial"/>
          <w:sz w:val="24"/>
          <w:szCs w:val="24"/>
        </w:rPr>
        <w:t>cinco</w:t>
      </w:r>
      <w:r w:rsidRPr="009F02EB">
        <w:rPr>
          <w:rFonts w:ascii="Palatino Linotype" w:eastAsia="Calibri" w:hAnsi="Palatino Linotype" w:cs="Arial"/>
          <w:sz w:val="24"/>
          <w:szCs w:val="24"/>
        </w:rPr>
        <w:t xml:space="preserve"> (</w:t>
      </w:r>
      <w:r w:rsidR="001E6434">
        <w:rPr>
          <w:rFonts w:ascii="Palatino Linotype" w:eastAsia="Calibri" w:hAnsi="Palatino Linotype" w:cs="Arial"/>
          <w:sz w:val="24"/>
          <w:szCs w:val="24"/>
        </w:rPr>
        <w:t>05</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1E6434" w:rsidRPr="001E6434">
        <w:rPr>
          <w:rFonts w:ascii="Palatino Linotype" w:hAnsi="Palatino Linotype"/>
          <w:b/>
        </w:rPr>
        <w:t xml:space="preserve"> </w:t>
      </w:r>
      <w:r w:rsidR="001E6434" w:rsidRPr="00174039">
        <w:rPr>
          <w:rFonts w:ascii="Palatino Linotype" w:hAnsi="Palatino Linotype"/>
          <w:b/>
        </w:rPr>
        <w:t>Ayuntamiento de Nezahualcóyotl</w:t>
      </w:r>
      <w:r w:rsidR="007A5D57" w:rsidRPr="00DF4D59">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1E6434">
        <w:rPr>
          <w:rFonts w:ascii="Palatino Linotype" w:hAnsi="Palatino Linotype" w:cs="Arial"/>
          <w:b/>
          <w:sz w:val="24"/>
          <w:szCs w:val="24"/>
        </w:rPr>
        <w:t>917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76880">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1053531"/>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el</w:t>
      </w:r>
      <w:r w:rsidR="00576880" w:rsidRPr="00576880">
        <w:rPr>
          <w:rFonts w:ascii="Palatino Linotype" w:hAnsi="Palatino Linotype"/>
          <w:b/>
        </w:rPr>
        <w:t xml:space="preserve"> </w:t>
      </w:r>
      <w:r w:rsidR="00576880" w:rsidRPr="00174039">
        <w:rPr>
          <w:rFonts w:ascii="Palatino Linotype" w:hAnsi="Palatino Linotype"/>
          <w:b/>
        </w:rPr>
        <w:t>Ayuntamiento de Nezahualcóyotl</w:t>
      </w:r>
      <w:r w:rsidR="00DD4DDE" w:rsidRPr="00DF4D59">
        <w:rPr>
          <w:rFonts w:ascii="Palatino Linotype" w:hAnsi="Palatino Linotype" w:cs="Arial"/>
          <w:b/>
          <w:sz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576880" w:rsidRPr="00174039" w:rsidRDefault="00576880" w:rsidP="00576880">
      <w:pPr>
        <w:ind w:left="709" w:right="709"/>
        <w:jc w:val="both"/>
        <w:rPr>
          <w:rFonts w:ascii="Palatino Linotype" w:hAnsi="Palatino Linotype"/>
          <w:i/>
        </w:rPr>
      </w:pPr>
      <w:r w:rsidRPr="00174039">
        <w:rPr>
          <w:rFonts w:ascii="Palatino Linotype" w:hAnsi="Palatino Linotype" w:cs="Arial"/>
          <w:i/>
        </w:rPr>
        <w:t xml:space="preserve">“Solicito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w:t>
      </w:r>
      <w:r w:rsidRPr="00174039">
        <w:rPr>
          <w:rFonts w:ascii="Palatino Linotype" w:hAnsi="Palatino Linotype"/>
          <w:i/>
        </w:rPr>
        <w:t>(Sic)</w:t>
      </w:r>
    </w:p>
    <w:p w:rsidR="007A5D57" w:rsidRDefault="007A5D57" w:rsidP="008049C8">
      <w:pPr>
        <w:pStyle w:val="Sinespaciado"/>
        <w:spacing w:line="360" w:lineRule="auto"/>
        <w:ind w:left="567" w:right="567"/>
        <w:jc w:val="both"/>
        <w:rPr>
          <w:rFonts w:ascii="Palatino Linotype" w:eastAsia="Calibri" w:hAnsi="Palatino Linotype" w:cs="Times New Roman"/>
          <w:sz w:val="24"/>
          <w:szCs w:val="24"/>
        </w:rPr>
      </w:pP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576880" w:rsidRPr="00576880">
        <w:rPr>
          <w:rFonts w:ascii="Palatino Linotype" w:hAnsi="Palatino Linotype"/>
          <w:b/>
        </w:rPr>
        <w:t xml:space="preserve"> </w:t>
      </w:r>
      <w:r w:rsidR="00576880" w:rsidRPr="00174039">
        <w:rPr>
          <w:rFonts w:ascii="Palatino Linotype" w:hAnsi="Palatino Linotype"/>
          <w:b/>
        </w:rPr>
        <w:t>Ayuntamiento de Nezahualcóyotl</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576880" w:rsidRPr="00576880">
        <w:rPr>
          <w:rFonts w:ascii="Palatino Linotype" w:hAnsi="Palatino Linotype"/>
          <w:b/>
        </w:rPr>
        <w:t xml:space="preserve"> </w:t>
      </w:r>
      <w:r w:rsidR="00576880" w:rsidRPr="00174039">
        <w:rPr>
          <w:rFonts w:ascii="Palatino Linotype" w:hAnsi="Palatino Linotype"/>
          <w:b/>
        </w:rPr>
        <w:t>Ayuntamiento de Nezahualcóyotl</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r w:rsidRPr="00174039">
        <w:rPr>
          <w:rFonts w:ascii="Palatino Linotype" w:eastAsiaTheme="minorEastAsia" w:hAnsi="Palatino Linotype" w:cs="Arial"/>
          <w:i/>
          <w:lang w:val="es-ES_tradnl" w:eastAsia="es-MX"/>
        </w:rPr>
        <w:lastRenderedPageBreak/>
        <w:t>“a)El documento o documentos donde conste la información curricular del Presidente Municipal, Secretario del Ayuntamiento, Tesorero, Director de Desarrollo Económico, Director del Medio Ambiente, Director de Desarrollo Urbano, Titular de la Unidad de la Municipal de Protección Civil y Coordinador General Municipal de Mejora Regulatoria,  a la fecha de la solicitud, es decir al 21 de febrero de 2019.</w:t>
      </w: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r w:rsidRPr="00174039">
        <w:rPr>
          <w:rFonts w:ascii="Palatino Linotype" w:eastAsiaTheme="minorEastAsia" w:hAnsi="Palatino Linotype" w:cs="Arial"/>
          <w:i/>
          <w:lang w:val="es-ES_tradnl" w:eastAsia="es-MX"/>
        </w:rPr>
        <w:t>b) El documento que acredite el grado de estudios (Título o cédula profesional) del Secretario del Ayuntamiento, Tesorero, Director de Obras Públicas, Director de Desarrollo Económico, Director del Medio Ambiente, Director de Desarrollo Urbano y Coordinador General Municipal de Mejora Regulatoria, al 21 de febrero de 2019.</w:t>
      </w:r>
    </w:p>
    <w:p w:rsidR="00576880" w:rsidRPr="00174039" w:rsidRDefault="00576880" w:rsidP="00576880">
      <w:pPr>
        <w:spacing w:line="276" w:lineRule="auto"/>
        <w:ind w:right="899"/>
        <w:jc w:val="both"/>
        <w:rPr>
          <w:rFonts w:ascii="Palatino Linotype" w:eastAsiaTheme="minorEastAsia" w:hAnsi="Palatino Linotype" w:cs="Arial"/>
          <w:i/>
          <w:lang w:val="es-ES_tradnl" w:eastAsia="es-MX"/>
        </w:rPr>
      </w:pP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r w:rsidRPr="00174039">
        <w:rPr>
          <w:rFonts w:ascii="Palatino Linotype" w:eastAsiaTheme="minorEastAsia" w:hAnsi="Palatino Linotype" w:cs="Arial"/>
          <w:i/>
          <w:lang w:val="es-ES_tradnl" w:eastAsia="es-MX"/>
        </w:rPr>
        <w:t xml:space="preserve">c) Documento en donde conste el último grado de estudios del </w:t>
      </w:r>
      <w:r w:rsidRPr="00174039">
        <w:rPr>
          <w:rFonts w:ascii="Palatino Linotype" w:eastAsiaTheme="minorEastAsia" w:hAnsi="Palatino Linotype"/>
          <w:i/>
          <w:lang w:val="es-ES_tradnl"/>
        </w:rPr>
        <w:t xml:space="preserve">Presidente Municipal y el Titular de la Unidad Municipal de Protección Civil, </w:t>
      </w:r>
      <w:r w:rsidRPr="00174039">
        <w:rPr>
          <w:rFonts w:ascii="Palatino Linotype" w:eastAsiaTheme="minorEastAsia" w:hAnsi="Palatino Linotype" w:cs="Arial"/>
          <w:i/>
          <w:lang w:val="es-ES_tradnl" w:eastAsia="es-MX"/>
        </w:rPr>
        <w:t>al 21 de febrero de 2019.</w:t>
      </w: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p>
    <w:p w:rsidR="00576880" w:rsidRPr="00174039" w:rsidRDefault="00576880" w:rsidP="00576880">
      <w:pPr>
        <w:spacing w:line="276" w:lineRule="auto"/>
        <w:ind w:left="851" w:right="899"/>
        <w:jc w:val="both"/>
        <w:rPr>
          <w:rFonts w:ascii="Palatino Linotype" w:eastAsiaTheme="minorEastAsia" w:hAnsi="Palatino Linotype" w:cs="Arial"/>
          <w:i/>
          <w:lang w:val="es-ES_tradnl" w:eastAsia="es-MX"/>
        </w:rPr>
      </w:pPr>
      <w:r w:rsidRPr="00174039">
        <w:rPr>
          <w:rFonts w:ascii="Palatino Linotype" w:eastAsiaTheme="minorEastAsia" w:hAnsi="Palatino Linotype"/>
          <w:i/>
          <w:lang w:val="es-ES_tradnl"/>
        </w:rPr>
        <w:t xml:space="preserve">Debiendo notificar al </w:t>
      </w:r>
      <w:r w:rsidRPr="00174039">
        <w:rPr>
          <w:rFonts w:ascii="Palatino Linotype" w:eastAsiaTheme="minorEastAsia" w:hAnsi="Palatino Linotype"/>
          <w:b/>
          <w:i/>
          <w:lang w:val="es-ES_tradnl"/>
        </w:rPr>
        <w:t>RECURRENTE</w:t>
      </w:r>
      <w:r w:rsidRPr="00174039">
        <w:rPr>
          <w:rFonts w:ascii="Palatino Linotype" w:eastAsiaTheme="minorEastAsia" w:hAnsi="Palatino Linotype"/>
          <w:i/>
          <w:lang w:val="es-ES_tradnl"/>
        </w:rPr>
        <w:t xml:space="preserve"> el Acuerdo de Clasificación de la información que emita el Comité de Transparencia con motivo de la versión pública.</w:t>
      </w:r>
    </w:p>
    <w:p w:rsidR="00576880" w:rsidRPr="00174039" w:rsidRDefault="00576880" w:rsidP="00576880">
      <w:pPr>
        <w:spacing w:line="276" w:lineRule="auto"/>
        <w:ind w:left="851" w:right="902"/>
        <w:contextualSpacing/>
        <w:jc w:val="both"/>
        <w:rPr>
          <w:rFonts w:ascii="Palatino Linotype" w:eastAsiaTheme="minorEastAsia" w:hAnsi="Palatino Linotype" w:cs="Arial"/>
          <w:i/>
          <w:lang w:val="es-ES_tradnl"/>
        </w:rPr>
      </w:pPr>
    </w:p>
    <w:p w:rsidR="00576880" w:rsidRPr="00174039" w:rsidRDefault="00576880" w:rsidP="00576880">
      <w:pPr>
        <w:spacing w:line="276" w:lineRule="auto"/>
        <w:ind w:left="851" w:right="902"/>
        <w:contextualSpacing/>
        <w:jc w:val="both"/>
        <w:rPr>
          <w:rFonts w:ascii="Palatino Linotype" w:eastAsiaTheme="minorEastAsia" w:hAnsi="Palatino Linotype" w:cs="Arial"/>
          <w:b/>
          <w:i/>
          <w:lang w:val="es-ES_tradnl"/>
        </w:rPr>
      </w:pPr>
      <w:r w:rsidRPr="00174039">
        <w:rPr>
          <w:rFonts w:ascii="Palatino Linotype" w:eastAsiaTheme="minorEastAsia" w:hAnsi="Palatino Linotype" w:cs="Arial"/>
          <w:i/>
          <w:lang w:val="es-ES_tradnl"/>
        </w:rPr>
        <w:t xml:space="preserve">Para el caso de que no obre en los archivos el documento en donde conste el último grado de estudios del </w:t>
      </w:r>
      <w:r w:rsidRPr="00174039">
        <w:rPr>
          <w:rFonts w:ascii="Palatino Linotype" w:eastAsiaTheme="minorEastAsia" w:hAnsi="Palatino Linotype"/>
          <w:i/>
          <w:lang w:val="es-ES_tradnl"/>
        </w:rPr>
        <w:t xml:space="preserve">Presidente Municipal y el Titular de la Unidad Municipal de Protección Civil, </w:t>
      </w:r>
      <w:r w:rsidRPr="00174039">
        <w:rPr>
          <w:rFonts w:ascii="Palatino Linotype" w:eastAsiaTheme="minorEastAsia" w:hAnsi="Palatino Linotype" w:cs="Arial"/>
          <w:i/>
          <w:lang w:val="es-ES_tradnl"/>
        </w:rPr>
        <w:t xml:space="preserve">bastará con que lo haga del conocimiento al </w:t>
      </w:r>
      <w:r w:rsidRPr="00174039">
        <w:rPr>
          <w:rFonts w:ascii="Palatino Linotype" w:eastAsiaTheme="minorEastAsia" w:hAnsi="Palatino Linotype" w:cs="Arial"/>
          <w:b/>
          <w:i/>
          <w:lang w:val="es-ES_tradnl"/>
        </w:rPr>
        <w:t>RECURRENTE.</w:t>
      </w:r>
    </w:p>
    <w:p w:rsidR="00576880" w:rsidRPr="00174039" w:rsidRDefault="00576880" w:rsidP="00576880">
      <w:pPr>
        <w:spacing w:line="276" w:lineRule="auto"/>
        <w:ind w:left="851" w:right="902"/>
        <w:contextualSpacing/>
        <w:jc w:val="both"/>
        <w:rPr>
          <w:rFonts w:ascii="Palatino Linotype" w:eastAsiaTheme="minorEastAsia" w:hAnsi="Palatino Linotype" w:cs="Arial"/>
          <w:i/>
          <w:lang w:val="es-ES_tradnl"/>
        </w:rPr>
      </w:pPr>
    </w:p>
    <w:p w:rsidR="00576880" w:rsidRPr="00174039" w:rsidRDefault="00576880" w:rsidP="00576880">
      <w:pPr>
        <w:spacing w:line="276" w:lineRule="auto"/>
        <w:ind w:left="851" w:right="899"/>
        <w:jc w:val="both"/>
        <w:rPr>
          <w:rFonts w:ascii="Palatino Linotype" w:eastAsiaTheme="minorEastAsia" w:hAnsi="Palatino Linotype" w:cs="Arial"/>
          <w:i/>
          <w:lang w:val="es-ES_tradnl"/>
        </w:rPr>
      </w:pPr>
      <w:r w:rsidRPr="00174039">
        <w:rPr>
          <w:rFonts w:ascii="Palatino Linotype" w:eastAsiaTheme="minorEastAsia" w:hAnsi="Palatino Linotype"/>
          <w:i/>
          <w:lang w:val="es-ES_tradnl"/>
        </w:rPr>
        <w:t xml:space="preserve">Para el caso de que la información que se ordena en los incisos a) y b) no obre en sus archivos, </w:t>
      </w:r>
      <w:r w:rsidRPr="00174039">
        <w:rPr>
          <w:rFonts w:ascii="Palatino Linotype" w:eastAsiaTheme="minorEastAsia" w:hAnsi="Palatino Linotype"/>
          <w:b/>
          <w:i/>
          <w:lang w:val="es-ES_tradnl"/>
        </w:rPr>
        <w:t>EL SUJETO OBLIGADO</w:t>
      </w:r>
      <w:r w:rsidRPr="00174039">
        <w:rPr>
          <w:rFonts w:ascii="Palatino Linotype" w:eastAsiaTheme="minorEastAsia" w:hAnsi="Palatino Linotype"/>
          <w:i/>
          <w:lang w:val="es-ES_tradnl"/>
        </w:rPr>
        <w:t xml:space="preserve"> deberá emitir el Acuerdo de Inexistencia en términos de los artículos 49, fracciones II y XIII, 169 y 170 de la </w:t>
      </w:r>
      <w:r w:rsidRPr="00174039">
        <w:rPr>
          <w:rFonts w:ascii="Palatino Linotype" w:eastAsiaTheme="minorEastAsia" w:hAnsi="Palatino Linotype"/>
          <w:i/>
          <w:lang w:val="es-ES_tradnl"/>
        </w:rPr>
        <w:lastRenderedPageBreak/>
        <w:t>Ley de Transparencia y Acceso a la Información Pública del Estado de México y Municipios.</w:t>
      </w:r>
      <w:r w:rsidRPr="00174039">
        <w:rPr>
          <w:rFonts w:ascii="Palatino Linotype" w:eastAsiaTheme="minorEastAsia" w:hAnsi="Palatino Linotype"/>
          <w:i/>
          <w:iCs/>
          <w:color w:val="222222"/>
          <w:shd w:val="clear" w:color="auto" w:fill="FFFFFF"/>
          <w:lang w:val="es-ES_tradnl"/>
        </w:rPr>
        <w:t>”</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BD052B">
        <w:rPr>
          <w:rFonts w:ascii="Palatino Linotype" w:eastAsia="Times New Roman" w:hAnsi="Palatino Linotype" w:cs="Arial"/>
          <w:sz w:val="24"/>
        </w:rPr>
        <w:t xml:space="preserve"> en el inciso c)</w:t>
      </w:r>
      <w:r w:rsidR="00DC6A75">
        <w:rPr>
          <w:rFonts w:ascii="Palatino Linotype" w:eastAsia="Times New Roman" w:hAnsi="Palatino Linotype" w:cs="Arial"/>
          <w:sz w:val="24"/>
        </w:rPr>
        <w:t>:</w:t>
      </w:r>
    </w:p>
    <w:p w:rsidR="001D291F" w:rsidRPr="00DC6A75" w:rsidRDefault="001D291F" w:rsidP="001D291F">
      <w:pPr>
        <w:pStyle w:val="Prrafodelista"/>
        <w:spacing w:before="240" w:after="240" w:line="360" w:lineRule="auto"/>
        <w:ind w:left="0" w:right="49"/>
        <w:jc w:val="both"/>
        <w:rPr>
          <w:rFonts w:ascii="Palatino Linotype" w:eastAsia="Times New Roman" w:hAnsi="Palatino Linotype" w:cs="Arial"/>
          <w:sz w:val="24"/>
        </w:rPr>
      </w:pPr>
    </w:p>
    <w:p w:rsidR="00BD052B" w:rsidRPr="00174039" w:rsidRDefault="00BD052B" w:rsidP="00BD052B">
      <w:pPr>
        <w:spacing w:line="276" w:lineRule="auto"/>
        <w:ind w:left="851" w:right="902"/>
        <w:contextualSpacing/>
        <w:jc w:val="both"/>
        <w:rPr>
          <w:rFonts w:ascii="Palatino Linotype" w:eastAsiaTheme="minorEastAsia" w:hAnsi="Palatino Linotype" w:cs="Arial"/>
          <w:b/>
          <w:i/>
          <w:lang w:val="es-ES_tradnl"/>
        </w:rPr>
      </w:pPr>
      <w:r w:rsidRPr="00174039">
        <w:rPr>
          <w:rFonts w:ascii="Palatino Linotype" w:eastAsiaTheme="minorEastAsia" w:hAnsi="Palatino Linotype" w:cs="Arial"/>
          <w:i/>
          <w:lang w:val="es-ES_tradnl"/>
        </w:rPr>
        <w:t xml:space="preserve">Para el caso de que no obre en los archivos el documento en donde conste el último grado de estudios del </w:t>
      </w:r>
      <w:r w:rsidRPr="00174039">
        <w:rPr>
          <w:rFonts w:ascii="Palatino Linotype" w:eastAsiaTheme="minorEastAsia" w:hAnsi="Palatino Linotype"/>
          <w:i/>
          <w:lang w:val="es-ES_tradnl"/>
        </w:rPr>
        <w:t xml:space="preserve">Presidente Municipal y el Titular de la Unidad Municipal de Protección Civil, </w:t>
      </w:r>
      <w:r w:rsidRPr="00174039">
        <w:rPr>
          <w:rFonts w:ascii="Palatino Linotype" w:eastAsiaTheme="minorEastAsia" w:hAnsi="Palatino Linotype" w:cs="Arial"/>
          <w:i/>
          <w:lang w:val="es-ES_tradnl"/>
        </w:rPr>
        <w:t xml:space="preserve">bastará con que lo haga del conocimiento al </w:t>
      </w:r>
      <w:r w:rsidRPr="00174039">
        <w:rPr>
          <w:rFonts w:ascii="Palatino Linotype" w:eastAsiaTheme="minorEastAsia" w:hAnsi="Palatino Linotype" w:cs="Arial"/>
          <w:b/>
          <w:i/>
          <w:lang w:val="es-ES_tradnl"/>
        </w:rPr>
        <w:t>RECURRENTE.</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105353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105353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Default="00890D5D" w:rsidP="00890D5D"/>
    <w:p w:rsidR="00890D5D" w:rsidRPr="00890D5D" w:rsidRDefault="00890D5D" w:rsidP="00890D5D"/>
    <w:p w:rsidR="00E6179D" w:rsidRPr="0083488C" w:rsidRDefault="00CD53CB" w:rsidP="00CD53CB">
      <w:pPr>
        <w:pStyle w:val="Ttulo1"/>
        <w:rPr>
          <w:rFonts w:eastAsia="Calibri"/>
          <w:szCs w:val="24"/>
        </w:rPr>
      </w:pPr>
      <w:bookmarkStart w:id="6" w:name="_Toc11053534"/>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285283" w:rsidRDefault="00285283"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5A1" w:rsidRDefault="00B205A1" w:rsidP="00E82D3D">
      <w:pPr>
        <w:spacing w:after="0" w:line="240" w:lineRule="auto"/>
      </w:pPr>
      <w:r>
        <w:separator/>
      </w:r>
    </w:p>
  </w:endnote>
  <w:endnote w:type="continuationSeparator" w:id="0">
    <w:p w:rsidR="00B205A1" w:rsidRDefault="00B205A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43C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43CE">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5A1" w:rsidRDefault="00B205A1" w:rsidP="00E82D3D">
      <w:pPr>
        <w:spacing w:after="0" w:line="240" w:lineRule="auto"/>
      </w:pPr>
      <w:r>
        <w:separator/>
      </w:r>
    </w:p>
  </w:footnote>
  <w:footnote w:type="continuationSeparator" w:id="0">
    <w:p w:rsidR="00B205A1" w:rsidRDefault="00B205A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205A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205A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205A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3"/>
  </w:num>
  <w:num w:numId="6">
    <w:abstractNumId w:val="7"/>
  </w:num>
  <w:num w:numId="7">
    <w:abstractNumId w:val="0"/>
  </w:num>
  <w:num w:numId="8">
    <w:abstractNumId w:val="2"/>
  </w:num>
  <w:num w:numId="9">
    <w:abstractNumId w:val="4"/>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27B24"/>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05A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3CE"/>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537D-5559-4964-93DF-87774AB1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5756</Words>
  <Characters>31660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2019-06-03T17:48:00Z</cp:lastPrinted>
  <dcterms:created xsi:type="dcterms:W3CDTF">2019-06-20T19:18:00Z</dcterms:created>
  <dcterms:modified xsi:type="dcterms:W3CDTF">2019-06-20T19:18:00Z</dcterms:modified>
</cp:coreProperties>
</file>